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556" w:rsidRDefault="003641FF">
      <w:pPr>
        <w:jc w:val="center"/>
      </w:pPr>
      <w:bookmarkStart w:id="0" w:name="_GoBack"/>
      <w:bookmarkEnd w:id="0"/>
      <w:r>
        <w:rPr>
          <w:b/>
          <w:sz w:val="32"/>
          <w:szCs w:val="32"/>
          <w:u w:val="single"/>
        </w:rPr>
        <w:t>Whitley Chapel C of E First School Sports Premium Information 2023-24</w:t>
      </w:r>
    </w:p>
    <w:p w:rsidR="00A62556" w:rsidRDefault="00A62556">
      <w:pPr>
        <w:spacing w:after="0"/>
      </w:pPr>
    </w:p>
    <w:p w:rsidR="00A62556" w:rsidRDefault="003641FF">
      <w:pPr>
        <w:spacing w:after="0"/>
      </w:pPr>
      <w:r>
        <w:rPr>
          <w:sz w:val="24"/>
          <w:szCs w:val="24"/>
        </w:rPr>
        <w:t xml:space="preserve">Sports Premium funding is an amount of money which the government has agreed to allocate to schools over an academic year. The funding amount schools receive is based upon the number of children from Year 1 upwards as well as a base amount of £16,000. </w:t>
      </w:r>
      <w:r>
        <w:rPr>
          <w:b/>
          <w:sz w:val="24"/>
          <w:szCs w:val="24"/>
        </w:rPr>
        <w:t>Our allocated funding for 2023 – 2024 is £16,</w:t>
      </w:r>
      <w:r w:rsidR="001B4E9D">
        <w:rPr>
          <w:b/>
          <w:sz w:val="24"/>
          <w:szCs w:val="24"/>
        </w:rPr>
        <w:t>330</w:t>
      </w:r>
      <w:r>
        <w:rPr>
          <w:b/>
          <w:sz w:val="24"/>
          <w:szCs w:val="24"/>
        </w:rPr>
        <w:t>.</w:t>
      </w:r>
    </w:p>
    <w:p w:rsidR="00A62556" w:rsidRDefault="00A62556">
      <w:pPr>
        <w:spacing w:after="0"/>
      </w:pPr>
    </w:p>
    <w:p w:rsidR="00A62556" w:rsidRDefault="003641FF">
      <w:pPr>
        <w:spacing w:after="0"/>
        <w:jc w:val="center"/>
        <w:rPr>
          <w:b/>
          <w:sz w:val="32"/>
          <w:szCs w:val="32"/>
        </w:rPr>
      </w:pPr>
      <w:r>
        <w:rPr>
          <w:b/>
          <w:sz w:val="32"/>
          <w:szCs w:val="32"/>
        </w:rPr>
        <w:t xml:space="preserve">Sports Premium Expenditure and Impact in </w:t>
      </w:r>
    </w:p>
    <w:p w:rsidR="00A62556" w:rsidRDefault="00A62556">
      <w:pPr>
        <w:spacing w:after="0"/>
        <w:jc w:val="center"/>
        <w:rPr>
          <w:b/>
          <w:sz w:val="24"/>
          <w:szCs w:val="24"/>
        </w:rPr>
      </w:pPr>
    </w:p>
    <w:tbl>
      <w:tblPr>
        <w:tblStyle w:val="a2"/>
        <w:tblW w:w="15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5"/>
        <w:gridCol w:w="3423"/>
      </w:tblGrid>
      <w:tr w:rsidR="00A62556">
        <w:tc>
          <w:tcPr>
            <w:tcW w:w="11965" w:type="dxa"/>
            <w:shd w:val="clear" w:color="auto" w:fill="auto"/>
          </w:tcPr>
          <w:p w:rsidR="00A62556" w:rsidRDefault="003641FF">
            <w:pPr>
              <w:spacing w:after="0"/>
              <w:rPr>
                <w:b/>
                <w:sz w:val="24"/>
                <w:szCs w:val="24"/>
              </w:rPr>
            </w:pPr>
            <w:r>
              <w:rPr>
                <w:b/>
                <w:sz w:val="24"/>
                <w:szCs w:val="24"/>
              </w:rPr>
              <w:t>Expenditure</w:t>
            </w:r>
          </w:p>
        </w:tc>
        <w:tc>
          <w:tcPr>
            <w:tcW w:w="3423" w:type="dxa"/>
            <w:shd w:val="clear" w:color="auto" w:fill="auto"/>
          </w:tcPr>
          <w:p w:rsidR="00A62556" w:rsidRDefault="003641FF">
            <w:pPr>
              <w:spacing w:after="0"/>
              <w:rPr>
                <w:b/>
                <w:sz w:val="24"/>
                <w:szCs w:val="24"/>
              </w:rPr>
            </w:pPr>
            <w:r>
              <w:rPr>
                <w:b/>
                <w:sz w:val="24"/>
                <w:szCs w:val="24"/>
              </w:rPr>
              <w:t>Amount</w:t>
            </w:r>
          </w:p>
        </w:tc>
      </w:tr>
      <w:tr w:rsidR="00A62556">
        <w:tc>
          <w:tcPr>
            <w:tcW w:w="11965" w:type="dxa"/>
            <w:shd w:val="clear" w:color="auto" w:fill="auto"/>
          </w:tcPr>
          <w:p w:rsidR="00A62556" w:rsidRDefault="003641FF">
            <w:pPr>
              <w:spacing w:after="0"/>
            </w:pPr>
            <w:r>
              <w:t>Curriculum staff support (Full of Beans)</w:t>
            </w:r>
          </w:p>
        </w:tc>
        <w:tc>
          <w:tcPr>
            <w:tcW w:w="3423" w:type="dxa"/>
            <w:shd w:val="clear" w:color="auto" w:fill="auto"/>
          </w:tcPr>
          <w:p w:rsidR="00A62556" w:rsidRDefault="001B4E9D">
            <w:pPr>
              <w:spacing w:after="0"/>
              <w:rPr>
                <w:sz w:val="24"/>
                <w:szCs w:val="24"/>
              </w:rPr>
            </w:pPr>
            <w:r>
              <w:rPr>
                <w:sz w:val="24"/>
                <w:szCs w:val="24"/>
              </w:rPr>
              <w:t>£</w:t>
            </w:r>
            <w:r w:rsidR="00FB7F34">
              <w:rPr>
                <w:sz w:val="24"/>
                <w:szCs w:val="24"/>
              </w:rPr>
              <w:t>8320</w:t>
            </w:r>
          </w:p>
        </w:tc>
      </w:tr>
      <w:tr w:rsidR="00A62556">
        <w:tc>
          <w:tcPr>
            <w:tcW w:w="11965" w:type="dxa"/>
            <w:shd w:val="clear" w:color="auto" w:fill="auto"/>
          </w:tcPr>
          <w:p w:rsidR="00A62556" w:rsidRDefault="00FB7F34">
            <w:pPr>
              <w:spacing w:after="0"/>
              <w:rPr>
                <w:sz w:val="24"/>
                <w:szCs w:val="24"/>
              </w:rPr>
            </w:pPr>
            <w:r>
              <w:rPr>
                <w:sz w:val="24"/>
                <w:szCs w:val="24"/>
              </w:rPr>
              <w:t>Swimming</w:t>
            </w:r>
          </w:p>
        </w:tc>
        <w:tc>
          <w:tcPr>
            <w:tcW w:w="3423" w:type="dxa"/>
            <w:shd w:val="clear" w:color="auto" w:fill="auto"/>
          </w:tcPr>
          <w:p w:rsidR="00A62556" w:rsidRDefault="003641FF">
            <w:pPr>
              <w:spacing w:after="0"/>
              <w:rPr>
                <w:sz w:val="24"/>
                <w:szCs w:val="24"/>
              </w:rPr>
            </w:pPr>
            <w:r>
              <w:rPr>
                <w:sz w:val="24"/>
                <w:szCs w:val="24"/>
              </w:rPr>
              <w:t>£2000</w:t>
            </w:r>
          </w:p>
        </w:tc>
      </w:tr>
      <w:tr w:rsidR="00A62556">
        <w:tc>
          <w:tcPr>
            <w:tcW w:w="11965" w:type="dxa"/>
            <w:shd w:val="clear" w:color="auto" w:fill="auto"/>
          </w:tcPr>
          <w:p w:rsidR="00A62556" w:rsidRDefault="003641FF">
            <w:pPr>
              <w:spacing w:after="0"/>
              <w:rPr>
                <w:sz w:val="24"/>
                <w:szCs w:val="24"/>
              </w:rPr>
            </w:pPr>
            <w:r>
              <w:rPr>
                <w:sz w:val="24"/>
                <w:szCs w:val="24"/>
              </w:rPr>
              <w:t>Forest School Sessions</w:t>
            </w:r>
          </w:p>
        </w:tc>
        <w:tc>
          <w:tcPr>
            <w:tcW w:w="3423" w:type="dxa"/>
            <w:shd w:val="clear" w:color="auto" w:fill="auto"/>
          </w:tcPr>
          <w:p w:rsidR="00A62556" w:rsidRDefault="003641FF">
            <w:pPr>
              <w:spacing w:after="0"/>
              <w:rPr>
                <w:sz w:val="24"/>
                <w:szCs w:val="24"/>
              </w:rPr>
            </w:pPr>
            <w:r>
              <w:rPr>
                <w:sz w:val="24"/>
                <w:szCs w:val="24"/>
              </w:rPr>
              <w:t>£</w:t>
            </w:r>
            <w:r w:rsidR="00FB7F34">
              <w:rPr>
                <w:sz w:val="24"/>
                <w:szCs w:val="24"/>
              </w:rPr>
              <w:t>2500</w:t>
            </w:r>
          </w:p>
        </w:tc>
      </w:tr>
      <w:tr w:rsidR="00A62556">
        <w:tc>
          <w:tcPr>
            <w:tcW w:w="11965" w:type="dxa"/>
            <w:shd w:val="clear" w:color="auto" w:fill="auto"/>
          </w:tcPr>
          <w:p w:rsidR="00A62556" w:rsidRDefault="003641FF">
            <w:pPr>
              <w:spacing w:after="0"/>
              <w:rPr>
                <w:sz w:val="24"/>
                <w:szCs w:val="24"/>
              </w:rPr>
            </w:pPr>
            <w:r>
              <w:rPr>
                <w:sz w:val="24"/>
                <w:szCs w:val="24"/>
              </w:rPr>
              <w:t>Multi-sports clubs - After School (Full of Beans)</w:t>
            </w:r>
          </w:p>
        </w:tc>
        <w:tc>
          <w:tcPr>
            <w:tcW w:w="3423" w:type="dxa"/>
            <w:shd w:val="clear" w:color="auto" w:fill="auto"/>
          </w:tcPr>
          <w:p w:rsidR="00A62556" w:rsidRDefault="003641FF">
            <w:pPr>
              <w:spacing w:after="0"/>
              <w:rPr>
                <w:sz w:val="24"/>
                <w:szCs w:val="24"/>
              </w:rPr>
            </w:pPr>
            <w:r>
              <w:rPr>
                <w:sz w:val="24"/>
                <w:szCs w:val="24"/>
              </w:rPr>
              <w:t>£1400</w:t>
            </w:r>
          </w:p>
        </w:tc>
      </w:tr>
      <w:tr w:rsidR="00A62556">
        <w:tc>
          <w:tcPr>
            <w:tcW w:w="11965" w:type="dxa"/>
            <w:shd w:val="clear" w:color="auto" w:fill="auto"/>
          </w:tcPr>
          <w:p w:rsidR="00A62556" w:rsidRDefault="003641FF">
            <w:pPr>
              <w:spacing w:after="0"/>
              <w:rPr>
                <w:sz w:val="24"/>
                <w:szCs w:val="24"/>
              </w:rPr>
            </w:pPr>
            <w:r>
              <w:rPr>
                <w:sz w:val="24"/>
                <w:szCs w:val="24"/>
              </w:rPr>
              <w:t>Buses</w:t>
            </w:r>
          </w:p>
        </w:tc>
        <w:tc>
          <w:tcPr>
            <w:tcW w:w="3423" w:type="dxa"/>
            <w:shd w:val="clear" w:color="auto" w:fill="auto"/>
          </w:tcPr>
          <w:p w:rsidR="00A62556" w:rsidRDefault="003641FF">
            <w:pPr>
              <w:spacing w:after="0"/>
              <w:rPr>
                <w:sz w:val="24"/>
                <w:szCs w:val="24"/>
              </w:rPr>
            </w:pPr>
            <w:r>
              <w:rPr>
                <w:sz w:val="24"/>
                <w:szCs w:val="24"/>
              </w:rPr>
              <w:t>£</w:t>
            </w:r>
            <w:r w:rsidR="00FB7F34">
              <w:rPr>
                <w:sz w:val="24"/>
                <w:szCs w:val="24"/>
              </w:rPr>
              <w:t>9</w:t>
            </w:r>
            <w:r>
              <w:rPr>
                <w:sz w:val="24"/>
                <w:szCs w:val="24"/>
              </w:rPr>
              <w:t>60</w:t>
            </w:r>
          </w:p>
        </w:tc>
      </w:tr>
      <w:tr w:rsidR="00A62556">
        <w:tc>
          <w:tcPr>
            <w:tcW w:w="11965" w:type="dxa"/>
            <w:shd w:val="clear" w:color="auto" w:fill="auto"/>
          </w:tcPr>
          <w:p w:rsidR="00A62556" w:rsidRDefault="003641FF">
            <w:pPr>
              <w:spacing w:after="0"/>
              <w:rPr>
                <w:sz w:val="24"/>
                <w:szCs w:val="24"/>
              </w:rPr>
            </w:pPr>
            <w:r>
              <w:rPr>
                <w:sz w:val="24"/>
                <w:szCs w:val="24"/>
              </w:rPr>
              <w:t>Pupil/Staff development days</w:t>
            </w:r>
          </w:p>
        </w:tc>
        <w:tc>
          <w:tcPr>
            <w:tcW w:w="3423" w:type="dxa"/>
            <w:shd w:val="clear" w:color="auto" w:fill="auto"/>
          </w:tcPr>
          <w:p w:rsidR="00A62556" w:rsidRDefault="003641FF">
            <w:pPr>
              <w:spacing w:after="0"/>
              <w:rPr>
                <w:sz w:val="24"/>
                <w:szCs w:val="24"/>
              </w:rPr>
            </w:pPr>
            <w:r>
              <w:rPr>
                <w:sz w:val="24"/>
                <w:szCs w:val="24"/>
              </w:rPr>
              <w:t>£</w:t>
            </w:r>
            <w:r w:rsidR="00FB7F34">
              <w:rPr>
                <w:sz w:val="24"/>
                <w:szCs w:val="24"/>
              </w:rPr>
              <w:t>6</w:t>
            </w:r>
            <w:r>
              <w:rPr>
                <w:sz w:val="24"/>
                <w:szCs w:val="24"/>
              </w:rPr>
              <w:t>00</w:t>
            </w:r>
          </w:p>
        </w:tc>
      </w:tr>
      <w:tr w:rsidR="00A62556">
        <w:tc>
          <w:tcPr>
            <w:tcW w:w="11965" w:type="dxa"/>
            <w:shd w:val="clear" w:color="auto" w:fill="auto"/>
          </w:tcPr>
          <w:p w:rsidR="00A62556" w:rsidRDefault="003641FF">
            <w:pPr>
              <w:spacing w:after="0"/>
              <w:rPr>
                <w:sz w:val="24"/>
                <w:szCs w:val="24"/>
              </w:rPr>
            </w:pPr>
            <w:r>
              <w:rPr>
                <w:sz w:val="24"/>
                <w:szCs w:val="24"/>
              </w:rPr>
              <w:t>Planning documents</w:t>
            </w:r>
            <w:r w:rsidR="00714D81">
              <w:rPr>
                <w:sz w:val="24"/>
                <w:szCs w:val="24"/>
              </w:rPr>
              <w:t>/ PE Hub</w:t>
            </w:r>
          </w:p>
        </w:tc>
        <w:tc>
          <w:tcPr>
            <w:tcW w:w="3423" w:type="dxa"/>
            <w:shd w:val="clear" w:color="auto" w:fill="auto"/>
          </w:tcPr>
          <w:p w:rsidR="00A62556" w:rsidRDefault="003641FF">
            <w:pPr>
              <w:spacing w:after="0"/>
              <w:rPr>
                <w:sz w:val="24"/>
                <w:szCs w:val="24"/>
              </w:rPr>
            </w:pPr>
            <w:r>
              <w:rPr>
                <w:sz w:val="24"/>
                <w:szCs w:val="24"/>
              </w:rPr>
              <w:t>£</w:t>
            </w:r>
            <w:r w:rsidR="00714D81">
              <w:rPr>
                <w:sz w:val="24"/>
                <w:szCs w:val="24"/>
              </w:rPr>
              <w:t>550</w:t>
            </w:r>
          </w:p>
        </w:tc>
      </w:tr>
      <w:tr w:rsidR="00A62556">
        <w:tc>
          <w:tcPr>
            <w:tcW w:w="11965" w:type="dxa"/>
            <w:shd w:val="clear" w:color="auto" w:fill="auto"/>
          </w:tcPr>
          <w:p w:rsidR="00A62556" w:rsidRDefault="003641FF">
            <w:pPr>
              <w:spacing w:after="0"/>
              <w:jc w:val="right"/>
              <w:rPr>
                <w:sz w:val="24"/>
                <w:szCs w:val="24"/>
              </w:rPr>
            </w:pPr>
            <w:r>
              <w:rPr>
                <w:sz w:val="24"/>
                <w:szCs w:val="24"/>
              </w:rPr>
              <w:t>TOTAL</w:t>
            </w:r>
          </w:p>
        </w:tc>
        <w:tc>
          <w:tcPr>
            <w:tcW w:w="3423" w:type="dxa"/>
            <w:shd w:val="clear" w:color="auto" w:fill="auto"/>
          </w:tcPr>
          <w:p w:rsidR="00A62556" w:rsidRDefault="003641FF">
            <w:pPr>
              <w:spacing w:after="0"/>
              <w:rPr>
                <w:sz w:val="24"/>
                <w:szCs w:val="24"/>
              </w:rPr>
            </w:pPr>
            <w:r>
              <w:rPr>
                <w:sz w:val="24"/>
                <w:szCs w:val="24"/>
              </w:rPr>
              <w:t>£16,330</w:t>
            </w:r>
          </w:p>
        </w:tc>
      </w:tr>
    </w:tbl>
    <w:p w:rsidR="00A62556" w:rsidRDefault="00A62556">
      <w:pPr>
        <w:spacing w:after="0"/>
        <w:rPr>
          <w:b/>
          <w:sz w:val="24"/>
          <w:szCs w:val="24"/>
        </w:rPr>
      </w:pPr>
    </w:p>
    <w:p w:rsidR="00A62556" w:rsidRDefault="003641FF">
      <w:pPr>
        <w:spacing w:after="0"/>
        <w:rPr>
          <w:b/>
          <w:sz w:val="24"/>
          <w:szCs w:val="24"/>
        </w:rPr>
      </w:pPr>
      <w:r>
        <w:rPr>
          <w:sz w:val="48"/>
          <w:szCs w:val="48"/>
        </w:rPr>
        <w:t>High-Quality Physical Education for All</w:t>
      </w:r>
    </w:p>
    <w:p w:rsidR="00A62556" w:rsidRDefault="00A62556">
      <w:pPr>
        <w:spacing w:after="0"/>
        <w:rPr>
          <w:b/>
          <w:sz w:val="24"/>
          <w:szCs w:val="24"/>
        </w:rPr>
      </w:pPr>
    </w:p>
    <w:tbl>
      <w:tblPr>
        <w:tblStyle w:val="a3"/>
        <w:tblW w:w="156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7"/>
        <w:gridCol w:w="7167"/>
      </w:tblGrid>
      <w:tr w:rsidR="00A62556">
        <w:trPr>
          <w:trHeight w:val="602"/>
        </w:trPr>
        <w:tc>
          <w:tcPr>
            <w:tcW w:w="8447" w:type="dxa"/>
            <w:shd w:val="clear" w:color="auto" w:fill="auto"/>
          </w:tcPr>
          <w:p w:rsidR="00A62556" w:rsidRDefault="003641FF">
            <w:pPr>
              <w:spacing w:after="0"/>
              <w:jc w:val="center"/>
              <w:rPr>
                <w:b/>
                <w:sz w:val="36"/>
                <w:szCs w:val="36"/>
              </w:rPr>
            </w:pPr>
            <w:r>
              <w:rPr>
                <w:b/>
                <w:sz w:val="36"/>
                <w:szCs w:val="36"/>
              </w:rPr>
              <w:t>Use of Funding</w:t>
            </w:r>
          </w:p>
        </w:tc>
        <w:tc>
          <w:tcPr>
            <w:tcW w:w="7167" w:type="dxa"/>
            <w:shd w:val="clear" w:color="auto" w:fill="auto"/>
          </w:tcPr>
          <w:p w:rsidR="00A62556" w:rsidRDefault="003641FF">
            <w:pPr>
              <w:spacing w:after="0"/>
              <w:jc w:val="center"/>
              <w:rPr>
                <w:b/>
                <w:sz w:val="36"/>
                <w:szCs w:val="36"/>
              </w:rPr>
            </w:pPr>
            <w:r>
              <w:rPr>
                <w:b/>
                <w:sz w:val="36"/>
                <w:szCs w:val="36"/>
              </w:rPr>
              <w:t>The impact on Pupils</w:t>
            </w:r>
          </w:p>
        </w:tc>
      </w:tr>
      <w:tr w:rsidR="00A62556">
        <w:trPr>
          <w:trHeight w:val="602"/>
        </w:trPr>
        <w:tc>
          <w:tcPr>
            <w:tcW w:w="8447" w:type="dxa"/>
            <w:shd w:val="clear" w:color="auto" w:fill="auto"/>
          </w:tcPr>
          <w:p w:rsidR="00A62556" w:rsidRDefault="003641FF">
            <w:pPr>
              <w:spacing w:after="0"/>
            </w:pPr>
            <w:r>
              <w:t>To improve the confidence of staff trained by Full of Beans sports</w:t>
            </w:r>
          </w:p>
        </w:tc>
        <w:tc>
          <w:tcPr>
            <w:tcW w:w="7167" w:type="dxa"/>
            <w:shd w:val="clear" w:color="auto" w:fill="auto"/>
          </w:tcPr>
          <w:p w:rsidR="00A62556" w:rsidRDefault="003641FF">
            <w:pPr>
              <w:spacing w:after="0"/>
            </w:pPr>
            <w:r>
              <w:t>All pupils will access a broad, balanced curriculum which is focussed on developing physical literacy and personal aspects of sport</w:t>
            </w:r>
          </w:p>
        </w:tc>
      </w:tr>
      <w:tr w:rsidR="00A62556">
        <w:trPr>
          <w:trHeight w:val="602"/>
        </w:trPr>
        <w:tc>
          <w:tcPr>
            <w:tcW w:w="8447" w:type="dxa"/>
            <w:shd w:val="clear" w:color="auto" w:fill="auto"/>
          </w:tcPr>
          <w:p w:rsidR="00A62556" w:rsidRDefault="003641FF">
            <w:pPr>
              <w:spacing w:after="0"/>
            </w:pPr>
            <w:r>
              <w:t>To develop staff confidence and subject knowledge through provision of Inclusion CPD</w:t>
            </w:r>
          </w:p>
        </w:tc>
        <w:tc>
          <w:tcPr>
            <w:tcW w:w="7167" w:type="dxa"/>
            <w:shd w:val="clear" w:color="auto" w:fill="auto"/>
          </w:tcPr>
          <w:p w:rsidR="00A62556" w:rsidRDefault="003641FF">
            <w:pPr>
              <w:spacing w:after="0"/>
            </w:pPr>
            <w:r>
              <w:t>More confident and competent staff</w:t>
            </w:r>
          </w:p>
          <w:p w:rsidR="00A62556" w:rsidRDefault="003641FF">
            <w:pPr>
              <w:spacing w:after="0"/>
            </w:pPr>
            <w:r>
              <w:t>Enhanced, inclusive curriculum provision</w:t>
            </w:r>
          </w:p>
        </w:tc>
      </w:tr>
      <w:tr w:rsidR="00A62556">
        <w:trPr>
          <w:trHeight w:val="602"/>
        </w:trPr>
        <w:tc>
          <w:tcPr>
            <w:tcW w:w="8447" w:type="dxa"/>
            <w:shd w:val="clear" w:color="auto" w:fill="auto"/>
          </w:tcPr>
          <w:p w:rsidR="00A62556" w:rsidRDefault="003641FF">
            <w:pPr>
              <w:spacing w:after="0"/>
            </w:pPr>
            <w:r>
              <w:t>To support class teachers with planning and delivering high-quality lessons and schemes of work.</w:t>
            </w:r>
          </w:p>
        </w:tc>
        <w:tc>
          <w:tcPr>
            <w:tcW w:w="7167" w:type="dxa"/>
            <w:shd w:val="clear" w:color="auto" w:fill="auto"/>
          </w:tcPr>
          <w:p w:rsidR="00A62556" w:rsidRDefault="003641FF">
            <w:pPr>
              <w:spacing w:after="0"/>
            </w:pPr>
            <w:r>
              <w:t>Children will have improved physical skills in games, gymnastics, dance and athletics.</w:t>
            </w:r>
          </w:p>
        </w:tc>
      </w:tr>
      <w:tr w:rsidR="00A62556">
        <w:trPr>
          <w:trHeight w:val="602"/>
        </w:trPr>
        <w:tc>
          <w:tcPr>
            <w:tcW w:w="8447" w:type="dxa"/>
            <w:shd w:val="clear" w:color="auto" w:fill="auto"/>
          </w:tcPr>
          <w:p w:rsidR="00A62556" w:rsidRDefault="003641FF">
            <w:pPr>
              <w:spacing w:after="0"/>
            </w:pPr>
            <w:r>
              <w:t>To increase enjoyment in PE sessions</w:t>
            </w:r>
          </w:p>
        </w:tc>
        <w:tc>
          <w:tcPr>
            <w:tcW w:w="7167" w:type="dxa"/>
            <w:shd w:val="clear" w:color="auto" w:fill="auto"/>
          </w:tcPr>
          <w:p w:rsidR="00A62556" w:rsidRDefault="003641FF">
            <w:pPr>
              <w:spacing w:after="0"/>
            </w:pPr>
            <w:r>
              <w:t>Pupils will be excited for PE, building a strong base for a healthy lifestyle</w:t>
            </w:r>
          </w:p>
        </w:tc>
      </w:tr>
      <w:tr w:rsidR="00A62556">
        <w:trPr>
          <w:trHeight w:val="602"/>
        </w:trPr>
        <w:tc>
          <w:tcPr>
            <w:tcW w:w="8447" w:type="dxa"/>
            <w:shd w:val="clear" w:color="auto" w:fill="auto"/>
          </w:tcPr>
          <w:p w:rsidR="00A62556" w:rsidRDefault="003641FF">
            <w:pPr>
              <w:spacing w:after="0"/>
            </w:pPr>
            <w:r>
              <w:t>To use PE and school sport to contribute to whole school improvement.</w:t>
            </w:r>
          </w:p>
        </w:tc>
        <w:tc>
          <w:tcPr>
            <w:tcW w:w="7167" w:type="dxa"/>
            <w:shd w:val="clear" w:color="auto" w:fill="auto"/>
          </w:tcPr>
          <w:p w:rsidR="00A62556" w:rsidRDefault="003641FF">
            <w:pPr>
              <w:spacing w:after="0"/>
            </w:pPr>
            <w:r>
              <w:t>More children will choose to adopt a healthy, active lifestyle.</w:t>
            </w:r>
          </w:p>
        </w:tc>
      </w:tr>
    </w:tbl>
    <w:p w:rsidR="00A62556" w:rsidRDefault="00A62556">
      <w:pPr>
        <w:rPr>
          <w:sz w:val="48"/>
          <w:szCs w:val="48"/>
        </w:rPr>
      </w:pPr>
    </w:p>
    <w:p w:rsidR="00A62556" w:rsidRDefault="003641FF">
      <w:pPr>
        <w:rPr>
          <w:sz w:val="48"/>
          <w:szCs w:val="48"/>
        </w:rPr>
      </w:pPr>
      <w:r>
        <w:rPr>
          <w:sz w:val="48"/>
          <w:szCs w:val="48"/>
        </w:rPr>
        <w:t>Competitive School Sport</w:t>
      </w:r>
    </w:p>
    <w:tbl>
      <w:tblPr>
        <w:tblStyle w:val="a4"/>
        <w:tblW w:w="156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7"/>
        <w:gridCol w:w="7157"/>
      </w:tblGrid>
      <w:tr w:rsidR="00A62556">
        <w:tc>
          <w:tcPr>
            <w:tcW w:w="8457" w:type="dxa"/>
            <w:shd w:val="clear" w:color="auto" w:fill="auto"/>
          </w:tcPr>
          <w:p w:rsidR="00A62556" w:rsidRDefault="003641FF">
            <w:pPr>
              <w:spacing w:after="0"/>
              <w:jc w:val="center"/>
              <w:rPr>
                <w:b/>
                <w:sz w:val="36"/>
                <w:szCs w:val="36"/>
              </w:rPr>
            </w:pPr>
            <w:r>
              <w:rPr>
                <w:b/>
                <w:sz w:val="36"/>
                <w:szCs w:val="36"/>
              </w:rPr>
              <w:t>Use of Funding</w:t>
            </w:r>
          </w:p>
        </w:tc>
        <w:tc>
          <w:tcPr>
            <w:tcW w:w="7157" w:type="dxa"/>
            <w:shd w:val="clear" w:color="auto" w:fill="auto"/>
          </w:tcPr>
          <w:p w:rsidR="00A62556" w:rsidRDefault="003641FF">
            <w:pPr>
              <w:spacing w:after="0"/>
              <w:jc w:val="center"/>
              <w:rPr>
                <w:b/>
                <w:sz w:val="36"/>
                <w:szCs w:val="36"/>
              </w:rPr>
            </w:pPr>
            <w:r>
              <w:rPr>
                <w:b/>
                <w:sz w:val="36"/>
                <w:szCs w:val="36"/>
              </w:rPr>
              <w:t>The impact on Pupils</w:t>
            </w:r>
          </w:p>
        </w:tc>
      </w:tr>
      <w:tr w:rsidR="00A62556">
        <w:tc>
          <w:tcPr>
            <w:tcW w:w="8457" w:type="dxa"/>
            <w:shd w:val="clear" w:color="auto" w:fill="auto"/>
          </w:tcPr>
          <w:p w:rsidR="00A62556" w:rsidRDefault="003641FF">
            <w:pPr>
              <w:spacing w:after="0"/>
            </w:pPr>
            <w:r>
              <w:t>To enable pupils to compete against other schools</w:t>
            </w:r>
          </w:p>
        </w:tc>
        <w:tc>
          <w:tcPr>
            <w:tcW w:w="7157" w:type="dxa"/>
            <w:shd w:val="clear" w:color="auto" w:fill="auto"/>
          </w:tcPr>
          <w:p w:rsidR="00A62556" w:rsidRDefault="003641FF">
            <w:pPr>
              <w:spacing w:after="0"/>
            </w:pPr>
            <w:r>
              <w:t>More children are part of successful competitive teams in years 2,3 and 4</w:t>
            </w:r>
          </w:p>
          <w:p w:rsidR="00A62556" w:rsidRDefault="00A62556">
            <w:pPr>
              <w:spacing w:after="0"/>
            </w:pPr>
          </w:p>
        </w:tc>
      </w:tr>
      <w:tr w:rsidR="00A62556">
        <w:tc>
          <w:tcPr>
            <w:tcW w:w="8457" w:type="dxa"/>
            <w:shd w:val="clear" w:color="auto" w:fill="auto"/>
          </w:tcPr>
          <w:p w:rsidR="00A62556" w:rsidRDefault="003641FF">
            <w:pPr>
              <w:spacing w:after="0"/>
            </w:pPr>
            <w:r>
              <w:t>To provide talented pupils with coaching – After School mix of sports</w:t>
            </w:r>
          </w:p>
        </w:tc>
        <w:tc>
          <w:tcPr>
            <w:tcW w:w="7157" w:type="dxa"/>
            <w:shd w:val="clear" w:color="auto" w:fill="auto"/>
          </w:tcPr>
          <w:p w:rsidR="00A62556" w:rsidRDefault="003641FF">
            <w:pPr>
              <w:spacing w:after="0"/>
            </w:pPr>
            <w:r>
              <w:t>Access to inter-school competitions</w:t>
            </w:r>
          </w:p>
          <w:p w:rsidR="00A62556" w:rsidRDefault="00A62556">
            <w:pPr>
              <w:spacing w:after="0"/>
            </w:pPr>
          </w:p>
        </w:tc>
      </w:tr>
      <w:tr w:rsidR="00A62556">
        <w:tc>
          <w:tcPr>
            <w:tcW w:w="8457" w:type="dxa"/>
            <w:shd w:val="clear" w:color="auto" w:fill="auto"/>
          </w:tcPr>
          <w:p w:rsidR="00A62556" w:rsidRDefault="003641FF">
            <w:pPr>
              <w:spacing w:after="0"/>
            </w:pPr>
            <w:r>
              <w:t xml:space="preserve">To provide extra-curricular coaching – </w:t>
            </w:r>
          </w:p>
        </w:tc>
        <w:tc>
          <w:tcPr>
            <w:tcW w:w="7157" w:type="dxa"/>
            <w:shd w:val="clear" w:color="auto" w:fill="auto"/>
          </w:tcPr>
          <w:p w:rsidR="00A62556" w:rsidRDefault="003641FF">
            <w:pPr>
              <w:spacing w:after="0"/>
            </w:pPr>
            <w:r>
              <w:t>Increased staffing capacity</w:t>
            </w:r>
          </w:p>
          <w:p w:rsidR="00A62556" w:rsidRDefault="003641FF">
            <w:pPr>
              <w:spacing w:after="0"/>
            </w:pPr>
            <w:r>
              <w:t>More children are engaged in competition</w:t>
            </w:r>
          </w:p>
        </w:tc>
      </w:tr>
      <w:tr w:rsidR="00A62556">
        <w:trPr>
          <w:trHeight w:val="378"/>
        </w:trPr>
        <w:tc>
          <w:tcPr>
            <w:tcW w:w="8457" w:type="dxa"/>
            <w:shd w:val="clear" w:color="auto" w:fill="auto"/>
          </w:tcPr>
          <w:p w:rsidR="00A62556" w:rsidRDefault="003641FF">
            <w:pPr>
              <w:spacing w:after="0"/>
            </w:pPr>
            <w:r>
              <w:t>To provide a range of extra-curricular activities that are not part of the curriculum</w:t>
            </w:r>
          </w:p>
        </w:tc>
        <w:tc>
          <w:tcPr>
            <w:tcW w:w="7157" w:type="dxa"/>
            <w:shd w:val="clear" w:color="auto" w:fill="auto"/>
          </w:tcPr>
          <w:p w:rsidR="00A62556" w:rsidRDefault="003641FF">
            <w:pPr>
              <w:spacing w:after="0"/>
            </w:pPr>
            <w:r>
              <w:t xml:space="preserve">Children across all Key-Stages to access mixed sports </w:t>
            </w:r>
          </w:p>
        </w:tc>
      </w:tr>
      <w:tr w:rsidR="00A62556">
        <w:tc>
          <w:tcPr>
            <w:tcW w:w="8457" w:type="dxa"/>
            <w:shd w:val="clear" w:color="auto" w:fill="auto"/>
          </w:tcPr>
          <w:p w:rsidR="00A62556" w:rsidRDefault="003641FF">
            <w:pPr>
              <w:spacing w:after="0"/>
            </w:pPr>
            <w:r>
              <w:t>To develop intra-school competition</w:t>
            </w:r>
          </w:p>
        </w:tc>
        <w:tc>
          <w:tcPr>
            <w:tcW w:w="7157" w:type="dxa"/>
            <w:shd w:val="clear" w:color="auto" w:fill="auto"/>
          </w:tcPr>
          <w:p w:rsidR="00A62556" w:rsidRDefault="003641FF">
            <w:pPr>
              <w:spacing w:after="0"/>
            </w:pPr>
            <w:r>
              <w:t xml:space="preserve">More children are engaged in competition in all years </w:t>
            </w:r>
          </w:p>
          <w:p w:rsidR="00A62556" w:rsidRDefault="00A62556">
            <w:pPr>
              <w:spacing w:after="0"/>
            </w:pPr>
          </w:p>
        </w:tc>
      </w:tr>
    </w:tbl>
    <w:p w:rsidR="00A62556" w:rsidRDefault="00A62556"/>
    <w:p w:rsidR="00A62556" w:rsidRDefault="003641FF">
      <w:pPr>
        <w:rPr>
          <w:sz w:val="48"/>
          <w:szCs w:val="48"/>
        </w:rPr>
      </w:pPr>
      <w:r>
        <w:rPr>
          <w:sz w:val="48"/>
          <w:szCs w:val="48"/>
        </w:rPr>
        <w:t>Whole School Impact</w:t>
      </w:r>
    </w:p>
    <w:p w:rsidR="00A62556" w:rsidRDefault="003641FF">
      <w:bookmarkStart w:id="1" w:name="_heading=h.gjdgxs" w:colFirst="0" w:colLast="0"/>
      <w:bookmarkEnd w:id="1"/>
      <w:r>
        <w:t>To apply for gold sports mark 2023-24</w:t>
      </w:r>
    </w:p>
    <w:p w:rsidR="00A62556" w:rsidRDefault="00A62556"/>
    <w:sectPr w:rsidR="00A62556">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56"/>
    <w:rsid w:val="001B4E9D"/>
    <w:rsid w:val="003641FF"/>
    <w:rsid w:val="00714D81"/>
    <w:rsid w:val="00A62556"/>
    <w:rsid w:val="00CD39F5"/>
    <w:rsid w:val="00FB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5AC11-B1C4-4CCD-9FAB-4656FF3C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A0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61A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A07"/>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h3XIiiqjNAz7/3+KCONYycuAg==">CgMxLjAyCGguZ2pkZ3hzOAByITFROTB5dTN3NmRmY1pnNF9Sc0dMMUtnMVZkWTQ2TDE0dA==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Lowes, Carole</dc:creator>
  <cp:lastModifiedBy>Gemma Kellett</cp:lastModifiedBy>
  <cp:revision>2</cp:revision>
  <dcterms:created xsi:type="dcterms:W3CDTF">2024-04-29T10:12:00Z</dcterms:created>
  <dcterms:modified xsi:type="dcterms:W3CDTF">2024-04-29T10:12:00Z</dcterms:modified>
</cp:coreProperties>
</file>